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80"/>
        <w:jc w:val="center"/>
      </w:pPr>
      <w:r>
        <w:rPr>
          <w:b/>
          <w:sz w:val="32"/>
          <w:szCs w:val="32"/>
        </w:rPr>
        <w:t xml:space="preserve">RESIDENTIAL RENTAL AGREEMENT</w:t>
      </w:r>
    </w:p>
    <w:p>
      <w:pPr>
        <w:spacing w:before="0" w:after="360"/>
        <w:jc w:val="center"/>
      </w:pPr>
      <w:r>
        <w:rPr>
          <w:color w:val="57534E"/>
          <w:sz w:val="20"/>
          <w:szCs w:val="20"/>
        </w:rPr>
        <w:t xml:space="preserve">Owner living abroad  ·  Property in India</w:t>
      </w:r>
    </w:p>
    <w:p>
      <w:pPr>
        <w:spacing w:before="200" w:after="80"/>
      </w:pPr>
      <w:r>
        <w:rPr>
          <w:b/>
          <w:sz w:val="24"/>
          <w:szCs w:val="24"/>
        </w:rPr>
        <w:t xml:space="preserve">1. Parties</w:t>
      </w:r>
    </w:p>
    <w:p>
      <w:pPr>
        <w:spacing w:before="0" w:after="120"/>
      </w:pPr>
      <w:r>
        <w:rPr>
          <w:sz w:val="22"/>
          <w:szCs w:val="22"/>
        </w:rPr>
        <w:t xml:space="preserve">This agreement is made on [date] between [owner's name], residing at [address abroad], a non-resident Indian, PAN [ ] ("the Owner"), represented in India by [representative's name] under a power of attorney dated [ ] (Annexure B), and [tenant's name], residing at [ ], PAN [ ] ("the Tenant").</w:t>
      </w:r>
    </w:p>
    <w:p>
      <w:pPr>
        <w:spacing w:before="200" w:after="80"/>
      </w:pPr>
      <w:r>
        <w:rPr>
          <w:b/>
          <w:sz w:val="24"/>
          <w:szCs w:val="24"/>
        </w:rPr>
        <w:t xml:space="preserve">2. Property</w:t>
      </w:r>
    </w:p>
    <w:p>
      <w:pPr>
        <w:spacing w:before="0" w:after="120"/>
      </w:pPr>
      <w:r>
        <w:rPr>
          <w:sz w:val="22"/>
          <w:szCs w:val="22"/>
        </w:rPr>
        <w:t xml:space="preserve">The Owner lets the residential property at [full address] ("the Property"), with the furniture, fittings and appliances listed in Annexure A, to the Tenant for use as a home by the Tenant and their family only.</w:t>
      </w:r>
    </w:p>
    <w:p>
      <w:pPr>
        <w:spacing w:before="200" w:after="80"/>
      </w:pPr>
      <w:r>
        <w:rPr>
          <w:b/>
          <w:sz w:val="24"/>
          <w:szCs w:val="24"/>
        </w:rPr>
        <w:t xml:space="preserve">3. Term</w:t>
      </w:r>
    </w:p>
    <w:p>
      <w:pPr>
        <w:spacing w:before="0" w:after="120"/>
      </w:pPr>
      <w:r>
        <w:rPr>
          <w:sz w:val="22"/>
          <w:szCs w:val="22"/>
        </w:rPr>
        <w:t xml:space="preserve">The tenancy runs for [11] months from [start date] to [end date], and may be renewed by a fresh agreement on terms agreed in writing.</w:t>
      </w:r>
    </w:p>
    <w:p>
      <w:pPr>
        <w:spacing w:before="200" w:after="80"/>
      </w:pPr>
      <w:r>
        <w:rPr>
          <w:b/>
          <w:sz w:val="24"/>
          <w:szCs w:val="24"/>
        </w:rPr>
        <w:t xml:space="preserve">4. Rent and how it is paid</w:t>
      </w:r>
    </w:p>
    <w:p>
      <w:pPr>
        <w:spacing w:before="0" w:after="120"/>
      </w:pPr>
      <w:r>
        <w:rPr>
          <w:sz w:val="22"/>
          <w:szCs w:val="22"/>
        </w:rPr>
        <w:t xml:space="preserve">The rent is ₹[amount] per month, payable on or before the [5th] of each month by bank transfer to the Owner's NRO account no. [ ], [bank, branch, IFSC]. On renewal the rent increases by [5]%.</w:t>
      </w:r>
    </w:p>
    <w:p>
      <w:pPr>
        <w:spacing w:before="200" w:after="80"/>
      </w:pPr>
      <w:r>
        <w:rPr>
          <w:b/>
          <w:sz w:val="24"/>
          <w:szCs w:val="24"/>
        </w:rPr>
        <w:t xml:space="preserve">5. Tax deducted at source (TDS)</w:t>
      </w:r>
    </w:p>
    <w:p>
      <w:pPr>
        <w:spacing w:before="0" w:after="120"/>
      </w:pPr>
      <w:r>
        <w:rPr>
          <w:sz w:val="22"/>
          <w:szCs w:val="22"/>
        </w:rPr>
        <w:t xml:space="preserve">As the Owner is a non-resident, the Tenant shall deduct income tax at source from each payment of rent at the rate in force (currently 31.2% of the rent, or the lower rate in any certificate the Owner provides), deposit it with the government under the Tenant's TAN by the due date, file the quarterly TDS return, and give the Owner the TDS certificate (Form 16A) for each quarter within the time allowed.</w:t>
      </w:r>
    </w:p>
    <w:p>
      <w:pPr>
        <w:spacing w:before="200" w:after="80"/>
      </w:pPr>
      <w:r>
        <w:rPr>
          <w:b/>
          <w:sz w:val="24"/>
          <w:szCs w:val="24"/>
        </w:rPr>
        <w:t xml:space="preserve">6. Security deposit</w:t>
      </w:r>
    </w:p>
    <w:p>
      <w:pPr>
        <w:spacing w:before="0" w:after="120"/>
      </w:pPr>
      <w:r>
        <w:rPr>
          <w:sz w:val="22"/>
          <w:szCs w:val="22"/>
        </w:rPr>
        <w:t xml:space="preserve">The Tenant has paid a refundable security deposit of ₹[amount] ([ ] months' rent). The Owner will refund it within [30] days of the Tenant handing back the Property and keys, less only unpaid rent or bills and the cost of damage beyond normal wear, measured against Annexure A.</w:t>
      </w:r>
    </w:p>
    <w:p>
      <w:pPr>
        <w:spacing w:before="200" w:after="80"/>
      </w:pPr>
      <w:r>
        <w:rPr>
          <w:b/>
          <w:sz w:val="24"/>
          <w:szCs w:val="24"/>
        </w:rPr>
        <w:t xml:space="preserve">7. Bills and maintenance charges</w:t>
      </w:r>
    </w:p>
    <w:p>
      <w:pPr>
        <w:spacing w:before="0" w:after="120"/>
      </w:pPr>
      <w:r>
        <w:rPr>
          <w:sz w:val="22"/>
          <w:szCs w:val="22"/>
        </w:rPr>
        <w:t xml:space="preserve">From the start date the Tenant pays electricity, water, gas and internet. The society's monthly maintenance charge of ₹[ ] is paid by the [Tenant / Owner]. Property tax is paid by the Owner.</w:t>
      </w:r>
    </w:p>
    <w:p>
      <w:pPr>
        <w:spacing w:before="200" w:after="80"/>
      </w:pPr>
      <w:r>
        <w:rPr>
          <w:b/>
          <w:sz w:val="24"/>
          <w:szCs w:val="24"/>
        </w:rPr>
        <w:t xml:space="preserve">8. Repairs</w:t>
      </w:r>
    </w:p>
    <w:p>
      <w:pPr>
        <w:spacing w:before="0" w:after="120"/>
      </w:pPr>
      <w:r>
        <w:rPr>
          <w:sz w:val="22"/>
          <w:szCs w:val="22"/>
        </w:rPr>
        <w:t xml:space="preserve">The Tenant takes care of day-to-day repairs up to ₹[ ] per instance (bulbs, taps, minor plumbing). The Owner pays for structural repairs, major appliances listed in Annexure A that fail through normal use, and anything over that amount, if told in writing first.</w:t>
      </w:r>
    </w:p>
    <w:p>
      <w:pPr>
        <w:spacing w:before="200" w:after="80"/>
      </w:pPr>
      <w:r>
        <w:rPr>
          <w:b/>
          <w:sz w:val="24"/>
          <w:szCs w:val="24"/>
        </w:rPr>
        <w:t xml:space="preserve">9. Use of the Property</w:t>
      </w:r>
    </w:p>
    <w:p>
      <w:pPr>
        <w:spacing w:before="0" w:after="120"/>
      </w:pPr>
      <w:r>
        <w:rPr>
          <w:sz w:val="22"/>
          <w:szCs w:val="22"/>
        </w:rPr>
        <w:t xml:space="preserve">The Tenant will use the Property only as a home, will not sublet it or run a business from it, will keep to the society's rules, and will make no alterations without the Owner's written consent.</w:t>
      </w:r>
    </w:p>
    <w:p>
      <w:pPr>
        <w:spacing w:before="200" w:after="80"/>
      </w:pPr>
      <w:r>
        <w:rPr>
          <w:b/>
          <w:sz w:val="24"/>
          <w:szCs w:val="24"/>
        </w:rPr>
        <w:t xml:space="preserve">10. Inspection</w:t>
      </w:r>
    </w:p>
    <w:p>
      <w:pPr>
        <w:spacing w:before="0" w:after="120"/>
      </w:pPr>
      <w:r>
        <w:rPr>
          <w:sz w:val="22"/>
          <w:szCs w:val="22"/>
        </w:rPr>
        <w:t xml:space="preserve">The Owner, or the Owner's representative, may inspect the Property at a reasonable time with [24] hours' notice.</w:t>
      </w:r>
    </w:p>
    <w:p>
      <w:pPr>
        <w:spacing w:before="200" w:after="80"/>
      </w:pPr>
      <w:r>
        <w:rPr>
          <w:b/>
          <w:sz w:val="24"/>
          <w:szCs w:val="24"/>
        </w:rPr>
        <w:t xml:space="preserve">11. Lock-in and notice</w:t>
      </w:r>
    </w:p>
    <w:p>
      <w:pPr>
        <w:spacing w:before="0" w:after="120"/>
      </w:pPr>
      <w:r>
        <w:rPr>
          <w:sz w:val="22"/>
          <w:szCs w:val="22"/>
        </w:rPr>
        <w:t xml:space="preserve">Neither party may end this agreement during the first [6] months, except for a serious breach. After that, either party may end it by giving [1] month's notice in writing.</w:t>
      </w:r>
    </w:p>
    <w:p>
      <w:pPr>
        <w:spacing w:before="200" w:after="80"/>
      </w:pPr>
      <w:r>
        <w:rPr>
          <w:b/>
          <w:sz w:val="24"/>
          <w:szCs w:val="24"/>
        </w:rPr>
        <w:t xml:space="preserve">12. Handing back</w:t>
      </w:r>
    </w:p>
    <w:p>
      <w:pPr>
        <w:spacing w:before="0" w:after="120"/>
      </w:pPr>
      <w:r>
        <w:rPr>
          <w:sz w:val="22"/>
          <w:szCs w:val="22"/>
        </w:rPr>
        <w:t xml:space="preserve">At the end of the tenancy the Tenant hands back the Property, its contents as listed in Annexure A, and all keys. Both parties (or the Owner's representative) inspect it together and sign the move-out condition report.</w:t>
      </w:r>
    </w:p>
    <w:p>
      <w:pPr>
        <w:spacing w:before="200" w:after="80"/>
      </w:pPr>
      <w:r>
        <w:rPr>
          <w:b/>
          <w:sz w:val="24"/>
          <w:szCs w:val="24"/>
        </w:rPr>
        <w:t xml:space="preserve">13. Identity and verification</w:t>
      </w:r>
    </w:p>
    <w:p>
      <w:pPr>
        <w:spacing w:before="0" w:after="120"/>
      </w:pPr>
      <w:r>
        <w:rPr>
          <w:sz w:val="22"/>
          <w:szCs w:val="22"/>
        </w:rPr>
        <w:t xml:space="preserve">The Tenant has given the Owner copies of their identity documents and will co-operate with any tenant verification required by the local police.</w:t>
      </w:r>
    </w:p>
    <w:p>
      <w:pPr>
        <w:spacing w:before="200" w:after="80"/>
      </w:pPr>
      <w:r>
        <w:rPr>
          <w:b/>
          <w:sz w:val="24"/>
          <w:szCs w:val="24"/>
        </w:rPr>
        <w:t xml:space="preserve">14. Stamp duty, registration and jurisdiction</w:t>
      </w:r>
    </w:p>
    <w:p>
      <w:pPr>
        <w:spacing w:before="0" w:after="120"/>
      </w:pPr>
      <w:r>
        <w:rPr>
          <w:sz w:val="22"/>
          <w:szCs w:val="22"/>
        </w:rPr>
        <w:t xml:space="preserve">This agreement is executed on stamp paper of ₹[ ]. Stamp duty and any registration charges are shared [equally]. Courts at [the city where the Property is] have jurisdiction.</w:t>
      </w:r>
    </w:p>
    <w:p>
      <w:pPr>
        <w:spacing w:before="200" w:after="80"/>
      </w:pPr>
      <w:r>
        <w:rPr>
          <w:b/>
          <w:sz w:val="24"/>
          <w:szCs w:val="24"/>
        </w:rPr>
        <w:t xml:space="preserve">15. Signatures</w:t>
      </w:r>
    </w:p>
    <w:p>
      <w:pPr>
        <w:spacing w:before="0" w:after="120"/>
      </w:pPr>
      <w:r>
        <w:rPr>
          <w:sz w:val="22"/>
          <w:szCs w:val="22"/>
        </w:rPr>
        <w:t xml:space="preserve">Signed by the Owner (or representative): ____________   Signed by the Tenant: ____________</w:t>
        <w:br/>
        <w:t xml:space="preserve">Witness 1: ____________   Witness 2: ____________</w:t>
        <w:br/>
        <w:t xml:space="preserve">Date and place: [ ]</w:t>
      </w:r>
    </w:p>
    <w:p>
      <w:pPr>
        <w:spacing w:before="480" w:after="80"/>
      </w:pPr>
      <w:r>
        <w:rPr>
          <w:b/>
          <w:sz w:val="24"/>
          <w:szCs w:val="24"/>
        </w:rPr>
        <w:t xml:space="preserve">Annexure A — Inventory and condition report</w:t>
      </w:r>
    </w:p>
    <w:p>
      <w:pPr>
        <w:spacing w:before="0" w:after="120"/>
      </w:pPr>
      <w:r>
        <w:rPr>
          <w:color w:val="57534E"/>
          <w:sz w:val="22"/>
          <w:szCs w:val="22"/>
        </w:rPr>
        <w:t xml:space="preserve">Every room, fitting and appliance, with photos, signed by both on the day the keys change hands.</w:t>
      </w:r>
    </w:p>
    <w:p>
      <w:pPr>
        <w:spacing w:before="240" w:after="80"/>
      </w:pPr>
      <w:r>
        <w:rPr>
          <w:b/>
          <w:sz w:val="24"/>
          <w:szCs w:val="24"/>
        </w:rPr>
        <w:t xml:space="preserve">Annexure B — Power of attorney</w:t>
      </w:r>
    </w:p>
    <w:p>
      <w:pPr>
        <w:spacing w:before="0" w:after="120"/>
      </w:pPr>
      <w:r>
        <w:rPr>
          <w:color w:val="57534E"/>
          <w:sz w:val="22"/>
          <w:szCs w:val="22"/>
        </w:rPr>
        <w:t xml:space="preserve">A copy of the power of attorney for the representative named above, if the owner is not signing in person.</w:t>
      </w:r>
    </w:p>
    <w:p>
      <w:pPr>
        <w:spacing w:before="480" w:after="120"/>
      </w:pPr>
      <w:r>
        <w:rPr>
          <w:i/>
          <w:color w:val="57534E"/>
          <w:sz w:val="18"/>
          <w:szCs w:val="18"/>
        </w:rPr>
        <w:t xml:space="preserve">Format by Houscade — houscade.in. Free to use and change. Not legal advice: have a lawyer read the agreement before you rely on it.</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color w:val="1C1917"/>
        <w:sz w:val="22"/>
        <w:lang w:val="en-IN"/>
      </w:rPr>
    </w:rPrDefault>
    <w:pPrDefault>
      <w:pPr>
        <w:spacing w:line="300"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